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39" w:type="dxa"/>
        <w:jc w:val="left"/>
        <w:tblInd w:w="67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CellMar>
          <w:top w:w="90" w:type="dxa"/>
          <w:left w:w="74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9339"/>
      </w:tblGrid>
      <w:tr>
        <w:trPr/>
        <w:tc>
          <w:tcPr>
            <w:tcW w:w="933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30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Описание материала</w:t>
            </w:r>
          </w:p>
        </w:tc>
      </w:tr>
      <w:tr>
        <w:trPr/>
        <w:tc>
          <w:tcPr>
            <w:tcW w:w="933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 xml:space="preserve">Среднепрочный анаэробный клей-герметик. Представляет собой однородную  тиксотропную композицию, отверждающую  в узком зазоре между  металлическими поверхностями c образованием полимера. Химическая основа- диметакриловый эфир. </w:t>
              <w:br/>
              <w:br/>
            </w:r>
            <w:r>
              <w:rPr>
                <w:rFonts w:eastAsia="Times New Roman" w:cs="Times New Roman" w:ascii="Verdana" w:hAnsi="Verdana"/>
                <w:bCs/>
                <w:color w:val="111111"/>
                <w:sz w:val="18"/>
                <w:szCs w:val="18"/>
                <w:lang w:eastAsia="ru-RU"/>
              </w:rPr>
              <w:t>С</w:t>
            </w: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тойкость к воздействию следующих сред: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вода;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нефтепродукты;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природный газ;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гидравлическая жидкость;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этиленгликоль;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36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растворы оснований (щелочей) и кислот.</w:t>
            </w:r>
          </w:p>
        </w:tc>
      </w:tr>
    </w:tbl>
    <w:tbl>
      <w:tblPr>
        <w:tblpPr w:bottomFromText="0" w:horzAnchor="margin" w:leftFromText="180" w:rightFromText="180" w:tblpX="0" w:tblpY="5521" w:topFromText="0" w:vertAnchor="page"/>
        <w:tblW w:w="9339" w:type="dxa"/>
        <w:jc w:val="left"/>
        <w:tblInd w:w="82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CellMar>
          <w:top w:w="90" w:type="dxa"/>
          <w:left w:w="74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2081"/>
        <w:gridCol w:w="7257"/>
      </w:tblGrid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Характеристика соединения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разборное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Область применения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Герметизация или стопорение резьбы, изготовленной из любого вида металла. Возможно применение, как при наличии на поверхностях защитных покрытий, так и при их отсутствии. Кроме того, вещество хорошо себя демонстрирует даже в условиях вибрации или повышенных динамических нагрузок. И, используя его, вы можете быть уверены, что предотвратите самоотвинчивание резьбовых соединений.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Примеры применения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Крепеж клапанных механизмов и навесного оборудования двигателей внутреннего сгорания. Служит для стопорения и герметизации горловин баллонов, огнетушителей, емкостей для хранения и транспортировки газов и жидкостей, крепежных соединений насосов и моторов.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В ЖКХ применяется для сборки систем отопления, газоснабжения, бытового и промышленного водоснабжения.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Максимальный зазор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до 0,3 мм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Температура эксплуатации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от – 60</w:t>
            </w: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vertAlign w:val="superscript"/>
                <w:lang w:eastAsia="ru-RU"/>
              </w:rPr>
              <w:t>0</w:t>
            </w: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 до + 180</w:t>
            </w: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vertAlign w:val="superscript"/>
                <w:lang w:eastAsia="ru-RU"/>
              </w:rPr>
              <w:t>0</w:t>
            </w: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С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Аналоги по применению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LOCTITE 243, Ан-6к, Ан-8к, Ан-114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Особые свойства материала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Отвержденный продукт не вызывает коррозии металлов и сплавов. Прочность фиксации и герметичность гарантирована на весь период эксплуатации изделия. Разборка деталей производится обычным инструментом.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Так же данный герметик можно использовать в контакте с питьевой водой.</w:t>
            </w:r>
          </w:p>
        </w:tc>
      </w:tr>
      <w:tr>
        <w:trPr/>
        <w:tc>
          <w:tcPr>
            <w:tcW w:w="208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111111"/>
                <w:sz w:val="18"/>
                <w:szCs w:val="18"/>
                <w:lang w:eastAsia="ru-RU"/>
              </w:rPr>
              <w:t>Указания по применению</w:t>
            </w:r>
          </w:p>
        </w:tc>
        <w:tc>
          <w:tcPr>
            <w:tcW w:w="725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Verdana" w:hAnsi="Verdana"/>
                <w:color w:val="111111"/>
                <w:sz w:val="18"/>
                <w:szCs w:val="18"/>
                <w:lang w:eastAsia="ru-RU"/>
              </w:rPr>
              <w:t>Герметик наносится на поверхности резьбового соединения с помощью специальной капельницы, которой оснащен флакон. При этом от начала резьбы необходимо отступить на шаг или два, а также закрутить гайку на болт, чтобы вещество распределилось по поверхностям равномерно. Когда все эти действия будут выполнены, можно производить окончательную затяжку.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outlineLvl w:val="5"/>
        <w:rPr>
          <w:rFonts w:ascii="Arial" w:hAnsi="Arial" w:eastAsia="Times New Roman" w:cs="Arial"/>
          <w:b/>
          <w:b/>
          <w:bCs/>
          <w:color w:val="094D9C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94D9C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jc w:val="center"/>
        <w:outlineLvl w:val="5"/>
        <w:rPr>
          <w:rFonts w:ascii="Arial" w:hAnsi="Arial" w:eastAsia="Times New Roman" w:cs="Arial"/>
          <w:b/>
          <w:b/>
          <w:bCs/>
          <w:color w:val="094D9C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94D9C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jc w:val="center"/>
        <w:outlineLvl w:val="5"/>
        <w:rPr>
          <w:rFonts w:ascii="Arial" w:hAnsi="Arial" w:eastAsia="Times New Roman" w:cs="Arial"/>
          <w:b/>
          <w:b/>
          <w:bCs/>
          <w:color w:val="094D9C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94D9C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jc w:val="center"/>
        <w:outlineLvl w:val="5"/>
        <w:rPr>
          <w:rFonts w:ascii="Arial" w:hAnsi="Arial" w:eastAsia="Times New Roman" w:cs="Arial"/>
          <w:b/>
          <w:b/>
          <w:bCs/>
          <w:color w:val="094D9C"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70"/>
        <w:jc w:val="center"/>
        <w:outlineLvl w:val="5"/>
        <w:rPr>
          <w:rFonts w:ascii="Arial" w:hAnsi="Arial" w:eastAsia="Times New Roman" w:cs="Arial"/>
          <w:color w:val="094D9C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94D9C"/>
          <w:sz w:val="24"/>
          <w:szCs w:val="24"/>
          <w:lang w:eastAsia="ru-RU"/>
        </w:rPr>
        <w:t>Показатели качества</w:t>
      </w:r>
    </w:p>
    <w:tbl>
      <w:tblPr>
        <w:tblW w:w="9338" w:type="dxa"/>
        <w:jc w:val="left"/>
        <w:tblInd w:w="67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  <w:insideH w:val="single" w:sz="6" w:space="0" w:color="D7D7D7"/>
          <w:insideV w:val="single" w:sz="6" w:space="0" w:color="D7D7D7"/>
        </w:tblBorders>
        <w:tblCellMar>
          <w:top w:w="90" w:type="dxa"/>
          <w:left w:w="74" w:type="dxa"/>
          <w:bottom w:w="90" w:type="dxa"/>
          <w:right w:w="90" w:type="dxa"/>
        </w:tblCellMar>
        <w:tblLook w:firstRow="1" w:noVBand="1" w:lastRow="0" w:firstColumn="1" w:lastColumn="0" w:noHBand="0" w:val="04a0"/>
      </w:tblPr>
      <w:tblGrid>
        <w:gridCol w:w="409"/>
        <w:gridCol w:w="4622"/>
        <w:gridCol w:w="4307"/>
      </w:tblGrid>
      <w:tr>
        <w:trPr/>
        <w:tc>
          <w:tcPr>
            <w:tcW w:w="4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0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Норма по ТУ</w:t>
            </w:r>
          </w:p>
        </w:tc>
      </w:tr>
      <w:tr>
        <w:trPr/>
        <w:tc>
          <w:tcPr>
            <w:tcW w:w="4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430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Однородная тиксотропная жидкость синего цвета, без посторонних включений</w:t>
            </w:r>
          </w:p>
        </w:tc>
      </w:tr>
      <w:tr>
        <w:trPr/>
        <w:tc>
          <w:tcPr>
            <w:tcW w:w="4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Динамическая вязкость, МПа×с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 2,5 обор/мин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 20 обор/мин</w:t>
            </w:r>
          </w:p>
        </w:tc>
        <w:tc>
          <w:tcPr>
            <w:tcW w:w="430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6000-18000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1500-3000</w:t>
            </w:r>
          </w:p>
        </w:tc>
      </w:tr>
      <w:tr>
        <w:trPr/>
        <w:tc>
          <w:tcPr>
            <w:tcW w:w="4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Момент страгивания на образцах из конструкционной стали, через 4 часа, Н×м</w:t>
            </w:r>
          </w:p>
        </w:tc>
        <w:tc>
          <w:tcPr>
            <w:tcW w:w="430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F8F8F8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15-25</w:t>
            </w:r>
          </w:p>
        </w:tc>
      </w:tr>
      <w:tr>
        <w:trPr/>
        <w:tc>
          <w:tcPr>
            <w:tcW w:w="40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Момент отвинчивания на образцах из конструкционной стали, через 4 часа, Н×м</w:t>
            </w:r>
          </w:p>
        </w:tc>
        <w:tc>
          <w:tcPr>
            <w:tcW w:w="430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  <w:insideH w:val="single" w:sz="6" w:space="0" w:color="D7D7D7"/>
              <w:insideV w:val="single" w:sz="6" w:space="0" w:color="D7D7D7"/>
            </w:tcBorders>
            <w:shd w:color="auto" w:fill="D4ECF6" w:val="clear"/>
            <w:tcMar>
              <w:left w:w="74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4-10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6">
    <w:name w:val="Heading 6"/>
    <w:basedOn w:val="Normal"/>
    <w:link w:val="60"/>
    <w:uiPriority w:val="9"/>
    <w:qFormat/>
    <w:rsid w:val="00e25ca4"/>
    <w:pPr>
      <w:spacing w:lineRule="auto" w:line="240" w:beforeAutospacing="1" w:afterAutospacing="1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1" w:customStyle="1">
    <w:name w:val="Заголовок 6 Знак"/>
    <w:basedOn w:val="DefaultParagraphFont"/>
    <w:link w:val="6"/>
    <w:uiPriority w:val="9"/>
    <w:qFormat/>
    <w:rsid w:val="00e25ca4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styleId="Strong">
    <w:name w:val="Strong"/>
    <w:basedOn w:val="DefaultParagraphFont"/>
    <w:uiPriority w:val="22"/>
    <w:qFormat/>
    <w:rsid w:val="00e25ca4"/>
    <w:rPr>
      <w:b/>
      <w:bCs/>
    </w:rPr>
  </w:style>
  <w:style w:type="character" w:styleId="ListLabel1">
    <w:name w:val="ListLabel 1"/>
    <w:qFormat/>
    <w:rPr>
      <w:rFonts w:ascii="Verdana" w:hAnsi="Verdana"/>
      <w:sz w:val="1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Verdana" w:hAnsi="Verdana" w:cs="Symbol"/>
      <w:sz w:val="18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25c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LibreOffice/5.2.3.3$Windows_x86 LibreOffice_project/d54a8868f08a7b39642414cf2c8ef2f228f780cf</Application>
  <Pages>2</Pages>
  <Words>308</Words>
  <Characters>2107</Characters>
  <CharactersWithSpaces>2371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2017-12-07T20:16:00Z</dcterms:created>
  <dc:creator>HGR</dc:creator>
  <dc:description/>
  <dc:language>ru-RU</dc:language>
  <cp:lastModifiedBy/>
  <dcterms:modified xsi:type="dcterms:W3CDTF">2018-04-03T11:45:46Z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